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2000"/>
        <w:jc w:val="center"/>
      </w:pPr>
      <w:r>
        <w:rPr>
          <w:rFonts w:ascii="Noto Sans SC" w:cs="Noto Sans SC" w:eastAsia="Noto Sans SC" w:hAnsi="Noto Sans SC"/>
          <w:b/>
          <w:bCs/>
          <w:color w:val="0A2540"/>
          <w:sz w:val="48"/>
          <w:szCs w:val="48"/>
        </w:rPr>
        <w:t xml:space="preserve">Global AI DAO 使用手册</w:t>
      </w:r>
    </w:p>
    <w:p>
      <w:pPr>
        <w:spacing w:after="240"/>
        <w:jc w:val="center"/>
      </w:pPr>
      <w:r>
        <w:rPr>
          <w:rFonts w:ascii="Noto Sans SC" w:cs="Noto Sans SC" w:eastAsia="Noto Sans SC" w:hAnsi="Noto Sans SC"/>
          <w:color w:val="4A5568"/>
          <w:sz w:val="28"/>
          <w:szCs w:val="28"/>
        </w:rPr>
        <w:t xml:space="preserve">Global AI DAO User Handbook</w:t>
      </w:r>
    </w:p>
    <w:p>
      <w:pPr>
        <w:spacing w:after="80"/>
        <w:jc w:val="center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22"/>
          <w:szCs w:val="22"/>
        </w:rPr>
        <w:t xml:space="preserve">面向企业客户、DAO 专家与管理员的完整操作指南</w:t>
      </w:r>
    </w:p>
    <w:p>
      <w:pPr>
        <w:spacing w:after="600"/>
        <w:jc w:val="center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20"/>
          <w:szCs w:val="20"/>
        </w:rPr>
        <w:t xml:space="preserve">A complete operating guide for enterprise customers, DAO experts and administrators</w:t>
      </w:r>
    </w:p>
    <w:p>
      <w:pPr>
        <w:spacing w:after="80"/>
        <w:jc w:val="center"/>
      </w:pPr>
      <w:r>
        <w:rPr>
          <w:rFonts w:ascii="Noto Sans SC" w:cs="Noto Sans SC" w:eastAsia="Noto Sans SC" w:hAnsi="Noto Sans SC"/>
          <w:b w:val="false"/>
          <w:bCs w:val="false"/>
          <w:color w:val="718096"/>
          <w:sz w:val="18"/>
          <w:szCs w:val="18"/>
        </w:rPr>
        <w:t xml:space="preserve">企业决策者 · DAO 合作伙伴 · 平台管理员 · 品牌运营</w:t>
      </w:r>
    </w:p>
    <w:p>
      <w:pPr>
        <w:spacing w:after="240"/>
        <w:jc w:val="center"/>
      </w:pPr>
      <w:r>
        <w:rPr>
          <w:rFonts w:ascii="Noto Sans SC" w:cs="Noto Sans SC" w:eastAsia="Noto Sans SC" w:hAnsi="Noto Sans SC"/>
          <w:b w:val="false"/>
          <w:bCs w:val="false"/>
          <w:color w:val="718096"/>
          <w:sz w:val="18"/>
          <w:szCs w:val="18"/>
        </w:rPr>
        <w:t xml:space="preserve">Enterprise decision-makers · DAO partners · Platform admins · Brand operations</w:t>
      </w:r>
    </w:p>
    <w:p>
      <w:pPr>
        <w:spacing w:after="80"/>
        <w:jc w:val="center"/>
      </w:pPr>
      <w:r>
        <w:rPr>
          <w:rFonts w:ascii="Noto Sans SC" w:cs="Noto Sans SC" w:eastAsia="Noto Sans SC" w:hAnsi="Noto Sans SC"/>
          <w:b w:val="false"/>
          <w:bCs w:val="false"/>
          <w:color w:val="718096"/>
          <w:sz w:val="18"/>
          <w:szCs w:val="18"/>
        </w:rPr>
        <w:t xml:space="preserve">Global AI DAO · globalaidao.org · v1.1</w:t>
      </w:r>
    </w:p>
    <w:p>
      <w:r>
        <w:br w:type="page"/>
      </w:r>
    </w:p>
    <w:p>
      <w:pPr>
        <w:spacing w:after="200"/>
      </w:pPr>
      <w:r>
        <w:rPr>
          <w:rFonts w:ascii="Noto Sans SC" w:cs="Noto Sans SC" w:eastAsia="Noto Sans SC" w:hAnsi="Noto Sans SC"/>
          <w:b/>
          <w:bCs/>
          <w:color w:val="0A2540"/>
          <w:sz w:val="32"/>
          <w:szCs w:val="32"/>
        </w:rPr>
        <w:t xml:space="preserve">目录 / Table of Contents</w:t>
      </w:r>
    </w:p>
    <w:p>
      <w:pPr>
        <w:spacing w:after="80"/>
      </w:pPr>
      <w:r>
        <w:rPr>
          <w:rFonts w:ascii="Noto Sans SC" w:cs="Noto Sans SC" w:eastAsia="Noto Sans SC" w:hAnsi="Noto Sans SC"/>
          <w:b/>
          <w:bCs/>
          <w:sz w:val="22"/>
          <w:szCs w:val="22"/>
        </w:rPr>
        <w:t xml:space="preserve">01  企业客户使用指南  /  Enterprise Customer Guide</w:t>
      </w:r>
    </w:p>
    <w:p>
      <w:pPr>
        <w:spacing w:after="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20"/>
          <w:szCs w:val="20"/>
        </w:rPr>
        <w:t xml:space="preserve">        1.1 浏览方案与案例  /  1.1 Browsing solutions and cases</w:t>
      </w:r>
    </w:p>
    <w:p>
      <w:pPr>
        <w:spacing w:after="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20"/>
          <w:szCs w:val="20"/>
        </w:rPr>
        <w:t xml:space="preserve">        1.2 提交咨询与商务接洽  /  1.2 Submitting an inquiry</w:t>
      </w:r>
    </w:p>
    <w:p>
      <w:pPr>
        <w:spacing w:after="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20"/>
          <w:szCs w:val="20"/>
        </w:rPr>
        <w:t xml:space="preserve">        1.3 从 POC 到上线  /  1.3 From POC to production</w:t>
      </w:r>
    </w:p>
    <w:p>
      <w:pPr>
        <w:spacing w:after="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20"/>
          <w:szCs w:val="20"/>
        </w:rPr>
        <w:t xml:space="preserve">        1.4 数据安全与隐私  /  1.4 Data security &amp; privacy</w:t>
      </w:r>
    </w:p>
    <w:p>
      <w:pPr>
        <w:spacing w:after="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20"/>
          <w:szCs w:val="20"/>
        </w:rPr>
        <w:t xml:space="preserve">        1.5 旗舰模块：AI 超级员工  /  1.5 Flagship module: AI Super Employee</w:t>
      </w:r>
    </w:p>
    <w:p>
      <w:pPr>
        <w:spacing w:after="80"/>
      </w:pPr>
      <w:r>
        <w:rPr>
          <w:rFonts w:ascii="Noto Sans SC" w:cs="Noto Sans SC" w:eastAsia="Noto Sans SC" w:hAnsi="Noto Sans SC"/>
          <w:b/>
          <w:bCs/>
          <w:sz w:val="22"/>
          <w:szCs w:val="22"/>
        </w:rPr>
        <w:t xml:space="preserve">02  合作伙伴（DAO 专家）指南  /  Partner &amp; DAO Expert Guide</w:t>
      </w:r>
    </w:p>
    <w:p>
      <w:pPr>
        <w:spacing w:after="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20"/>
          <w:szCs w:val="20"/>
        </w:rPr>
        <w:t xml:space="preserve">        2.1 注册与申请  /  2.1 Register &amp; apply</w:t>
      </w:r>
    </w:p>
    <w:p>
      <w:pPr>
        <w:spacing w:after="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20"/>
          <w:szCs w:val="20"/>
        </w:rPr>
        <w:t xml:space="preserve">        2.2 认证与分级  /  2.2 Certification &amp; tiers</w:t>
      </w:r>
    </w:p>
    <w:p>
      <w:pPr>
        <w:spacing w:after="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20"/>
          <w:szCs w:val="20"/>
        </w:rPr>
        <w:t xml:space="preserve">        2.3 接单与交付  /  2.3 Engagement &amp; delivery</w:t>
      </w:r>
    </w:p>
    <w:p>
      <w:pPr>
        <w:spacing w:after="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20"/>
          <w:szCs w:val="20"/>
        </w:rPr>
        <w:t xml:space="preserve">        2.4 结算与申诉  /  2.4 Settlement &amp; appeals</w:t>
      </w:r>
    </w:p>
    <w:p>
      <w:pPr>
        <w:spacing w:after="80"/>
      </w:pPr>
      <w:r>
        <w:rPr>
          <w:rFonts w:ascii="Noto Sans SC" w:cs="Noto Sans SC" w:eastAsia="Noto Sans SC" w:hAnsi="Noto Sans SC"/>
          <w:b/>
          <w:bCs/>
          <w:sz w:val="22"/>
          <w:szCs w:val="22"/>
        </w:rPr>
        <w:t xml:space="preserve">03  管理员后台操作  /  Administrator Operations</w:t>
      </w:r>
    </w:p>
    <w:p>
      <w:pPr>
        <w:spacing w:after="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20"/>
          <w:szCs w:val="20"/>
        </w:rPr>
        <w:t xml:space="preserve">        3.1 登录与权限  /  3.1 Sign-in &amp; roles</w:t>
      </w:r>
    </w:p>
    <w:p>
      <w:pPr>
        <w:spacing w:after="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20"/>
          <w:szCs w:val="20"/>
        </w:rPr>
        <w:t xml:space="preserve">        3.2 用户与合作伙伴管理  /  3.2 Users &amp; partners</w:t>
      </w:r>
    </w:p>
    <w:p>
      <w:pPr>
        <w:spacing w:after="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20"/>
          <w:szCs w:val="20"/>
        </w:rPr>
        <w:t xml:space="preserve">        3.3 咨询与营销线索  /  3.3 Inquiries &amp; marketing leads</w:t>
      </w:r>
    </w:p>
    <w:p>
      <w:pPr>
        <w:spacing w:after="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20"/>
          <w:szCs w:val="20"/>
        </w:rPr>
        <w:t xml:space="preserve">        3.4 内容与品牌运营  /  3.4 Content &amp; brand operations</w:t>
      </w:r>
    </w:p>
    <w:p>
      <w:pPr>
        <w:spacing w:after="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20"/>
          <w:szCs w:val="20"/>
        </w:rPr>
        <w:t xml:space="preserve">        3.5 监控与应急  /  3.5 Monitoring &amp; incident response</w:t>
      </w:r>
    </w:p>
    <w:p>
      <w:pPr>
        <w:spacing w:after="80"/>
      </w:pPr>
      <w:r>
        <w:rPr>
          <w:rFonts w:ascii="Noto Sans SC" w:cs="Noto Sans SC" w:eastAsia="Noto Sans SC" w:hAnsi="Noto Sans SC"/>
          <w:b/>
          <w:bCs/>
          <w:sz w:val="22"/>
          <w:szCs w:val="22"/>
        </w:rPr>
        <w:t xml:space="preserve">04  品牌与术语规范  /  Brand &amp; Glossary</w:t>
      </w:r>
    </w:p>
    <w:p>
      <w:pPr>
        <w:spacing w:after="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20"/>
          <w:szCs w:val="20"/>
        </w:rPr>
        <w:t xml:space="preserve">        4.1 品牌名与定位  /  4.1 Brand name &amp; positioning</w:t>
      </w:r>
    </w:p>
    <w:p>
      <w:pPr>
        <w:spacing w:after="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20"/>
          <w:szCs w:val="20"/>
        </w:rPr>
        <w:t xml:space="preserve">        4.2 核心术语  /  4.2 Core terminology</w:t>
      </w:r>
    </w:p>
    <w:p>
      <w:pPr>
        <w:spacing w:after="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20"/>
          <w:szCs w:val="20"/>
        </w:rPr>
        <w:t xml:space="preserve">        4.3 语气与版式  /  4.3 Tone &amp; layout</w:t>
      </w:r>
    </w:p>
    <w:p>
      <w:r>
        <w:br w:type="page"/>
      </w:r>
    </w:p>
    <w:p>
      <w:pPr>
        <w:spacing w:after="80"/>
      </w:pPr>
      <w:r>
        <w:rPr>
          <w:rFonts w:ascii="Noto Sans SC" w:cs="Noto Sans SC" w:eastAsia="Noto Sans SC" w:hAnsi="Noto Sans SC"/>
          <w:b/>
          <w:bCs/>
          <w:color w:val="0A2540"/>
          <w:sz w:val="36"/>
          <w:szCs w:val="36"/>
        </w:rPr>
        <w:t xml:space="preserve">01 · 企业客户使用指南</w:t>
      </w:r>
    </w:p>
    <w:p>
      <w:pPr>
        <w:spacing w:after="16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22"/>
          <w:szCs w:val="22"/>
        </w:rPr>
        <w:t xml:space="preserve">Enterprise Customer Guide</w:t>
      </w:r>
    </w:p>
    <w:p>
      <w:pPr>
        <w:spacing w:after="80"/>
      </w:pPr>
      <w:r>
        <w:rPr>
          <w:rFonts w:ascii="Noto Sans SC" w:cs="Noto Sans SC" w:eastAsia="Noto Sans SC" w:hAnsi="Noto Sans SC"/>
          <w:b w:val="false"/>
          <w:bCs w:val="false"/>
          <w:color w:val="2D3748"/>
          <w:sz w:val="20"/>
          <w:szCs w:val="20"/>
        </w:rPr>
        <w:t xml:space="preserve">帮助企业决策者在 30 分钟内完成从浏览方案、提交咨询到与交付团队对接的全流程。</w:t>
      </w:r>
    </w:p>
    <w:p>
      <w:pPr>
        <w:spacing w:after="24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Helps enterprise buyers move from browsing solutions to engaging the delivery team in under 30 minutes.</w:t>
      </w:r>
    </w:p>
    <w:p>
      <w:pPr>
        <w:spacing w:after="100"/>
      </w:pPr>
      <w:r>
        <w:rPr>
          <w:rFonts w:ascii="Noto Sans SC" w:cs="Noto Sans SC" w:eastAsia="Noto Sans SC" w:hAnsi="Noto Sans SC"/>
          <w:b/>
          <w:bCs/>
          <w:color w:val="1A365D"/>
          <w:sz w:val="24"/>
          <w:szCs w:val="24"/>
        </w:rPr>
        <w:t xml:space="preserve">1.1 浏览方案与案例  /  1.1 Browsing solutions and cases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从首页或顶部导航进入「解决方案」（/solutions），按行业筛选最贴近您业务的方案；每张方案卡都带有关键能力、典型场景与量化产出。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Enter Solutions from the home page or top nav (/solutions) and filter by industry. Each card lists key capabilities, scenarios and quantified outcomes.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「行业案例」（/cases）展示了我们在零售、金融、医疗、法律、教育等行业的落地数据，并提供「前后对比」图表与可下载的案例简报 PDF。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Cases (/cases) shows live delivery data across retail, finance, healthcare, legal and education, with before/after charts and downloadable case briefs.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每个方案、产品与核心技术模块均提供「下载方案手册」（/playbook/{category}/{slug}），适合打印或在内部审批环节传阅。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Every solution, product and core technology module offers a downloadable playbook at /playbook/{category}/{slug} — ideal for printing or internal sign-off.</w:t>
      </w:r>
    </w:p>
    <w:p>
      <w:pPr>
        <w:spacing w:after="100"/>
      </w:pPr>
      <w:r>
        <w:rPr>
          <w:rFonts w:ascii="Noto Sans SC" w:cs="Noto Sans SC" w:eastAsia="Noto Sans SC" w:hAnsi="Noto Sans SC"/>
          <w:b/>
          <w:bCs/>
          <w:color w:val="1A365D"/>
          <w:sz w:val="24"/>
          <w:szCs w:val="24"/>
        </w:rPr>
        <w:t xml:space="preserve">1.2 提交咨询与商务接洽  /  1.2 Submitting an inquiry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在「联系我们」（/contact）填写公司名称、行业、预算区间与希望开始的时间。提交后 1 个工作日内，对应行业的方案专家会发起首轮对话。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On /contact, share company, industry, budget range and target start date. An industry specialist replies within one business day.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如需 NDA 后再交换数据样本或系统截图，请在表单备注中注明，我们会先发送双向 NDA。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If you need an NDA before sharing data samples or screenshots, note it in the form and we will issue a mutual NDA first.</w:t>
      </w:r>
    </w:p>
    <w:p>
      <w:pPr>
        <w:spacing w:after="100"/>
      </w:pPr>
      <w:r>
        <w:rPr>
          <w:rFonts w:ascii="Noto Sans SC" w:cs="Noto Sans SC" w:eastAsia="Noto Sans SC" w:hAnsi="Noto Sans SC"/>
          <w:b/>
          <w:bCs/>
          <w:color w:val="1A365D"/>
          <w:sz w:val="24"/>
          <w:szCs w:val="24"/>
        </w:rPr>
        <w:t xml:space="preserve">1.3 从 POC 到上线  /  1.3 From POC to production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标准节奏：双周 POC → 4–6 周首版上线 → 季度迭代。所有交付均按效果付费（Pay-for-Performance），关键指标（成本、时延、准确率、营收）写入合同。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Standard cadence: 2-week POC → 4–6 week first release → quarterly iteration. All delivery is Pay-for-Performance, with cost/latency/accuracy/revenue KPIs written into the contract.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您将获得专属交付看板（受邀访问），可实时查看里程碑、指标走势与变更记录；上线后由「全球 DAO 专家网络」提供 7×24 应急响应。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You receive an invite-only delivery dashboard for live milestones, KPI trends and change logs. The Global DAO Expert Network provides 24/7 on-call after go-live.</w:t>
      </w:r>
    </w:p>
    <w:p>
      <w:pPr>
        <w:spacing w:after="100"/>
      </w:pPr>
      <w:r>
        <w:rPr>
          <w:rFonts w:ascii="Noto Sans SC" w:cs="Noto Sans SC" w:eastAsia="Noto Sans SC" w:hAnsi="Noto Sans SC"/>
          <w:b/>
          <w:bCs/>
          <w:color w:val="1A365D"/>
          <w:sz w:val="24"/>
          <w:szCs w:val="24"/>
        </w:rPr>
        <w:t xml:space="preserve">1.4 数据安全与隐私  /  1.4 Data security &amp; privacy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所有客户数据默认在您指定的区域内处理，支持 GDPR / SOC 2 / ISO 27001 合规对齐；敏感字段在区块链信任层做哈希存证，原文不离开您的环境。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All customer data is processed within your chosen region with GDPR / SOC 2 / ISO 27001 alignment. Sensitive fields are hashed onto the Blockchain Trust layer; raw text never leaves your environment.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如需删除您提交的咨询数据，请前往 /data-protection 提交数据删除申请，我们在 30 天内完成全链路清除并回执。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To delete inquiry data, file a request at /data-protection. End-to-end purge and acknowledgement are completed within 30 days.</w:t>
      </w:r>
    </w:p>
    <w:p>
      <w:pPr>
        <w:spacing w:after="100"/>
      </w:pPr>
      <w:r>
        <w:rPr>
          <w:rFonts w:ascii="Noto Sans SC" w:cs="Noto Sans SC" w:eastAsia="Noto Sans SC" w:hAnsi="Noto Sans SC"/>
          <w:b/>
          <w:bCs/>
          <w:color w:val="1A365D"/>
          <w:sz w:val="24"/>
          <w:szCs w:val="24"/>
        </w:rPr>
        <w:t xml:space="preserve">1.5 旗舰模块：AI 超级员工  /  1.5 Flagship module: AI Super Employee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「天算 AI 超级员工」是 Global AI DAO 在短视频与本地生活赛道的旗舰产品，一个 AI 员工替代 10 名营销 / 运营人，覆盖文案、剪辑、发布、获客、私信、AI 回复与全局监管全链路。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'Tian Suan AI Super Employee' is the Global AI DAO flagship for short video and local-life ops — one AI employee replaces ten marketing/ops staff, end-to-end across script, edit, publish, lead capture, DM, AI reply and global supervision.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进入 /products/ai-super-employee 查看完整能力清单、典型客户案例（亿人游、润德科技、陶柒、晟铭文化、海峰教育、华亚汽修等）与系统规格；同页可一键下载方案手册 PDF（/playbook/products/ai-super-employee）。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Visit /products/ai-super-employee for the full capability list, customer cases (Yirenyou, Runde, Taoqi, Shengming, Haifeng, Huaya Auto Repair, etc.) and specs. The same page offers a one-click playbook PDF at /playbook/products/ai-super-employee.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支持抖音 / 快手 / 视频号 / 小红书 / 微信 / 企微原生绑定；提供 SaaS 与私有化两种部署，支持企业私有知识库与销冠话术喂养；系统错误率 &lt; 0.1%，全链路 10–50× 视频产出速度。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Native binding for Douyin / Kuaishou / Channels / Xiaohongshu / WeChat / WeCom; SaaS or private deployment with proprietary KB + top-seller script ingestion; system error rate &lt;0.1% and 10–50× end-to-end video throughput.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采购路径：在 /contact 选择「AI 超级员工」即可触发专属交付团队跟进，2 周内完成 POC，4–6 周首版上线，按效果付费写入合同。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Procurement path: select 'AI Super Employee' on /contact to engage the dedicated delivery squad — 2-week POC, 4–6 week first release, Pay-for-Performance written into the contract.</w:t>
      </w:r>
    </w:p>
    <w:p>
      <w:r>
        <w:br w:type="page"/>
      </w:r>
    </w:p>
    <w:p>
      <w:pPr>
        <w:spacing w:after="80"/>
      </w:pPr>
      <w:r>
        <w:rPr>
          <w:rFonts w:ascii="Noto Sans SC" w:cs="Noto Sans SC" w:eastAsia="Noto Sans SC" w:hAnsi="Noto Sans SC"/>
          <w:b/>
          <w:bCs/>
          <w:color w:val="0A2540"/>
          <w:sz w:val="36"/>
          <w:szCs w:val="36"/>
        </w:rPr>
        <w:t xml:space="preserve">02 · 合作伙伴（DAO 专家）指南</w:t>
      </w:r>
    </w:p>
    <w:p>
      <w:pPr>
        <w:spacing w:after="16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22"/>
          <w:szCs w:val="22"/>
        </w:rPr>
        <w:t xml:space="preserve">Partner &amp; DAO Expert Guide</w:t>
      </w:r>
    </w:p>
    <w:p>
      <w:pPr>
        <w:spacing w:after="80"/>
      </w:pPr>
      <w:r>
        <w:rPr>
          <w:rFonts w:ascii="Noto Sans SC" w:cs="Noto Sans SC" w:eastAsia="Noto Sans SC" w:hAnsi="Noto Sans SC"/>
          <w:b w:val="false"/>
          <w:bCs w:val="false"/>
          <w:color w:val="2D3748"/>
          <w:sz w:val="20"/>
          <w:szCs w:val="20"/>
        </w:rPr>
        <w:t xml:space="preserve">面向加入「全球 DAO 专家网络」的独立专家、咨询公司与垂直服务商，覆盖注册、认证、接单与结算全流程。</w:t>
      </w:r>
    </w:p>
    <w:p>
      <w:pPr>
        <w:spacing w:after="24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For independent experts, consultancies and vertical providers joining the Global DAO Expert Network — covers onboarding, certification, engagement and settlement.</w:t>
      </w:r>
    </w:p>
    <w:p>
      <w:pPr>
        <w:spacing w:after="100"/>
      </w:pPr>
      <w:r>
        <w:rPr>
          <w:rFonts w:ascii="Noto Sans SC" w:cs="Noto Sans SC" w:eastAsia="Noto Sans SC" w:hAnsi="Noto Sans SC"/>
          <w:b/>
          <w:bCs/>
          <w:color w:val="1A365D"/>
          <w:sz w:val="24"/>
          <w:szCs w:val="24"/>
        </w:rPr>
        <w:t xml:space="preserve">2.1 注册与申请  /  2.1 Register &amp; apply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在 /partners 提交申请，填写专长、行业经验、过往交付指标与可投入产能。我们按「最后一公里（Last-Mile）专家」标准评估，3 个工作日内给出初审结论。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Apply at /partners with expertise, industry track record, past delivery metrics and available capacity. We screen against the Last-Mile expert bar and respond within 3 business days.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初审通过后会收到邀请邮件，按链接完成账户激活，并补充身份证明、企业资质与银行 / 收款信息。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Approved applicants receive an invite email to activate the account and upload ID, company credentials and banking details.</w:t>
      </w:r>
    </w:p>
    <w:p>
      <w:pPr>
        <w:spacing w:after="100"/>
      </w:pPr>
      <w:r>
        <w:rPr>
          <w:rFonts w:ascii="Noto Sans SC" w:cs="Noto Sans SC" w:eastAsia="Noto Sans SC" w:hAnsi="Noto Sans SC"/>
          <w:b/>
          <w:bCs/>
          <w:color w:val="1A365D"/>
          <w:sz w:val="24"/>
          <w:szCs w:val="24"/>
        </w:rPr>
        <w:t xml:space="preserve">2.2 认证与分级  /  2.2 Certification &amp; tiers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合作伙伴分为 Associate / Certified / Strategic 三档，分级依据：成功交付项目数、客户 NPS、合规审计通过率、社区贡献度。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Partners are tiered as Associate / Certified / Strategic based on successful deliveries, customer NPS, audit pass rate and community contribution.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晋升通道每季度评估一次；Strategic 合作伙伴可参与方案产品化与收益分成。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Promotion reviews happen quarterly. Strategic partners can co-productize solutions and share revenue.</w:t>
      </w:r>
    </w:p>
    <w:p>
      <w:pPr>
        <w:spacing w:after="100"/>
      </w:pPr>
      <w:r>
        <w:rPr>
          <w:rFonts w:ascii="Noto Sans SC" w:cs="Noto Sans SC" w:eastAsia="Noto Sans SC" w:hAnsi="Noto Sans SC"/>
          <w:b/>
          <w:bCs/>
          <w:color w:val="1A365D"/>
          <w:sz w:val="24"/>
          <w:szCs w:val="24"/>
        </w:rPr>
        <w:t xml:space="preserve">2.3 接单与交付  /  2.3 Engagement &amp; delivery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新需求会按行业、技能与产能匹配推送到您的工作台。在接单前可查看：客户行业、预算区间、关键指标、预期工期与团队规模。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New requests are matched by industry, skill and capacity and pushed to your workspace. Before accepting you can see industry, budget range, KPIs, timeline and team size.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接单后必须按里程碑提交交付物，所有指标自动写入交付看板并对客户透明；逾期或指标未达将触发 Pay-for-Performance 退款条款。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Once engaged, milestones and metrics are auto-published to the customer dashboard. Missed deadlines or KPIs trigger Pay-for-Performance refund clauses.</w:t>
      </w:r>
    </w:p>
    <w:p>
      <w:pPr>
        <w:spacing w:after="100"/>
      </w:pPr>
      <w:r>
        <w:rPr>
          <w:rFonts w:ascii="Noto Sans SC" w:cs="Noto Sans SC" w:eastAsia="Noto Sans SC" w:hAnsi="Noto Sans SC"/>
          <w:b/>
          <w:bCs/>
          <w:color w:val="1A365D"/>
          <w:sz w:val="24"/>
          <w:szCs w:val="24"/>
        </w:rPr>
        <w:t xml:space="preserve">2.4 结算与申诉  /  2.4 Settlement &amp; appeals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里程碑通过后系统自动生成对账单，月度结算；可选法币或合规稳定币通道。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After milestone sign-off, statements are auto-generated and settled monthly via fiat or compliant stablecoin rails.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对客户评分或扣款有异议时，可在 14 天内通过工作台「申诉」入口提交证据，由 DAO 仲裁委员会 5 个工作日内出具裁定。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Disputes can be filed via the workspace Appeals entry within 14 days; the DAO arbitration committee rules within 5 business days.</w:t>
      </w:r>
    </w:p>
    <w:p>
      <w:r>
        <w:br w:type="page"/>
      </w:r>
    </w:p>
    <w:p>
      <w:pPr>
        <w:spacing w:after="80"/>
      </w:pPr>
      <w:r>
        <w:rPr>
          <w:rFonts w:ascii="Noto Sans SC" w:cs="Noto Sans SC" w:eastAsia="Noto Sans SC" w:hAnsi="Noto Sans SC"/>
          <w:b/>
          <w:bCs/>
          <w:color w:val="0A2540"/>
          <w:sz w:val="36"/>
          <w:szCs w:val="36"/>
        </w:rPr>
        <w:t xml:space="preserve">03 · 管理员后台操作</w:t>
      </w:r>
    </w:p>
    <w:p>
      <w:pPr>
        <w:spacing w:after="16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22"/>
          <w:szCs w:val="22"/>
        </w:rPr>
        <w:t xml:space="preserve">Administrator Operations</w:t>
      </w:r>
    </w:p>
    <w:p>
      <w:pPr>
        <w:spacing w:after="80"/>
      </w:pPr>
      <w:r>
        <w:rPr>
          <w:rFonts w:ascii="Noto Sans SC" w:cs="Noto Sans SC" w:eastAsia="Noto Sans SC" w:hAnsi="Noto Sans SC"/>
          <w:b w:val="false"/>
          <w:bCs w:val="false"/>
          <w:color w:val="2D3748"/>
          <w:sz w:val="20"/>
          <w:szCs w:val="20"/>
        </w:rPr>
        <w:t xml:space="preserve">面向 Global AI DAO 平台内部运营、合规与内容团队的后台手册，仅授权管理员可见。</w:t>
      </w:r>
    </w:p>
    <w:p>
      <w:pPr>
        <w:spacing w:after="24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Internal operations, compliance and content reference for the Global AI DAO platform — for authorized administrators only.</w:t>
      </w:r>
    </w:p>
    <w:p>
      <w:pPr>
        <w:spacing w:after="100"/>
      </w:pPr>
      <w:r>
        <w:rPr>
          <w:rFonts w:ascii="Noto Sans SC" w:cs="Noto Sans SC" w:eastAsia="Noto Sans SC" w:hAnsi="Noto Sans SC"/>
          <w:b/>
          <w:bCs/>
          <w:color w:val="1A365D"/>
          <w:sz w:val="24"/>
          <w:szCs w:val="24"/>
        </w:rPr>
        <w:t xml:space="preserve">3.1 登录与权限  /  3.1 Sign-in &amp; roles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管理员后台入口：/admin。所有角色存放于独立的 user_roles 表（绝不写入 profiles），通过 has_role() 安全函数校验，避免提权攻击。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Admin entry: /admin. Roles live in a dedicated user_roles table (never on profiles) and are checked via the has_role() security definer function to prevent privilege escalation.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支持邮箱 + 密码、邀请链接与 Google 登录；忘记密码请走 /admin/forgot-password，所有认证邮件由队列调度并 15 分钟内有效。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Email + password, invite link and Google sign-in are supported. Use /admin/forgot-password for resets; auth emails are dispatched by the queue with a 15-minute TTL.</w:t>
      </w:r>
    </w:p>
    <w:p>
      <w:pPr>
        <w:spacing w:after="100"/>
      </w:pPr>
      <w:r>
        <w:rPr>
          <w:rFonts w:ascii="Noto Sans SC" w:cs="Noto Sans SC" w:eastAsia="Noto Sans SC" w:hAnsi="Noto Sans SC"/>
          <w:b/>
          <w:bCs/>
          <w:color w:val="1A365D"/>
          <w:sz w:val="24"/>
          <w:szCs w:val="24"/>
        </w:rPr>
        <w:t xml:space="preserve">3.2 用户与合作伙伴管理  /  3.2 Users &amp; partners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在 /admin/users 进行账号增删、角色分配；/admin/partners 与 /admin/partner-audit 用于审核合作伙伴资料与分级变更，所有写入操作经服务端函数完成并产生审计日志。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Use /admin/users for account and role management; /admin/partners and /admin/partner-audit for reviewing partner profiles and tier changes. All writes go through server functions and produce audit logs.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敏感字段（联系方式、银行信息）默认遮罩显示，需 Strategic 级管理员二次确认后才可临时解除遮罩。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Sensitive fields (contact, banking) are masked by default; revealing them requires a second confirmation by a Strategic-tier admin.</w:t>
      </w:r>
    </w:p>
    <w:p>
      <w:pPr>
        <w:spacing w:after="100"/>
      </w:pPr>
      <w:r>
        <w:rPr>
          <w:rFonts w:ascii="Noto Sans SC" w:cs="Noto Sans SC" w:eastAsia="Noto Sans SC" w:hAnsi="Noto Sans SC"/>
          <w:b/>
          <w:bCs/>
          <w:color w:val="1A365D"/>
          <w:sz w:val="24"/>
          <w:szCs w:val="24"/>
        </w:rPr>
        <w:t xml:space="preserve">3.3 咨询与营销线索  /  3.3 Inquiries &amp; marketing leads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客户在 /contact 提交的咨询写入 inquiries 表，仅服务端函数可写；/admin/inquiries 提供按行业、阶段与负责人筛选的视图。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Inquiries from /contact are written to the inquiries table by server functions only. /admin/inquiries provides filters by industry, stage and owner.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每条线索可一键派单给对应行业的 DAO 专家，或转 CRM webhook；状态变更同步触发客户通知邮件。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Each lead can be routed to a domain DAO expert or pushed to the CRM webhook with one click; status changes automatically trigger customer notification emails.</w:t>
      </w:r>
    </w:p>
    <w:p>
      <w:pPr>
        <w:spacing w:after="100"/>
      </w:pPr>
      <w:r>
        <w:rPr>
          <w:rFonts w:ascii="Noto Sans SC" w:cs="Noto Sans SC" w:eastAsia="Noto Sans SC" w:hAnsi="Noto Sans SC"/>
          <w:b/>
          <w:bCs/>
          <w:color w:val="1A365D"/>
          <w:sz w:val="24"/>
          <w:szCs w:val="24"/>
        </w:rPr>
        <w:t xml:space="preserve">3.4 内容与品牌运营  /  3.4 Content &amp; brand operations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方案、产品、案例的展示文案集中维护在 src/data 与 detail-extensions 中；新增方案手册无需改路由，只需在数据源补齐对应 slug。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Solution, product and case copy is centralised in src/data and detail-extensions; new playbooks need only a matching slug, no route changes.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上线前请运行 scripts/i18n-check.mjs 与 scripts/check-seo-i18n.ts，确保中英文 SEO 元数据与术语合规。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Before publishing run scripts/i18n-check.mjs and scripts/check-seo-i18n.ts to verify bilingual SEO metadata and glossary compliance.</w:t>
      </w:r>
    </w:p>
    <w:p>
      <w:pPr>
        <w:spacing w:after="100"/>
      </w:pPr>
      <w:r>
        <w:rPr>
          <w:rFonts w:ascii="Noto Sans SC" w:cs="Noto Sans SC" w:eastAsia="Noto Sans SC" w:hAnsi="Noto Sans SC"/>
          <w:b/>
          <w:bCs/>
          <w:color w:val="1A365D"/>
          <w:sz w:val="24"/>
          <w:szCs w:val="24"/>
        </w:rPr>
        <w:t xml:space="preserve">3.5 监控与应急  /  3.5 Monitoring &amp; incident response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邮件队列、定时任务与服务端函数日志可在内部仪表盘查看；如 5 分钟内无新邮件出队，请优先检查 process-email-queue 定时任务状态。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Email queue, cron jobs and server function logs are visible on the internal dashboard. If no emails dispatch within 5 minutes, first check the process-email-queue cron.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P1 事故须在 15 分钟内拉起事故会议，2 小时内对外通报；事后 5 个工作日内提交根因复盘并归档。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P1 incidents require a bridge within 15 minutes, public communication within 2 hours, and a root-cause post-mortem filed within 5 business days.</w:t>
      </w:r>
    </w:p>
    <w:p>
      <w:r>
        <w:br w:type="page"/>
      </w:r>
    </w:p>
    <w:p>
      <w:pPr>
        <w:spacing w:after="80"/>
      </w:pPr>
      <w:r>
        <w:rPr>
          <w:rFonts w:ascii="Noto Sans SC" w:cs="Noto Sans SC" w:eastAsia="Noto Sans SC" w:hAnsi="Noto Sans SC"/>
          <w:b/>
          <w:bCs/>
          <w:color w:val="0A2540"/>
          <w:sz w:val="36"/>
          <w:szCs w:val="36"/>
        </w:rPr>
        <w:t xml:space="preserve">04 · 品牌与术语规范</w:t>
      </w:r>
    </w:p>
    <w:p>
      <w:pPr>
        <w:spacing w:after="16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22"/>
          <w:szCs w:val="22"/>
        </w:rPr>
        <w:t xml:space="preserve">Brand &amp; Glossary</w:t>
      </w:r>
    </w:p>
    <w:p>
      <w:pPr>
        <w:spacing w:after="80"/>
      </w:pPr>
      <w:r>
        <w:rPr>
          <w:rFonts w:ascii="Noto Sans SC" w:cs="Noto Sans SC" w:eastAsia="Noto Sans SC" w:hAnsi="Noto Sans SC"/>
          <w:b w:val="false"/>
          <w:bCs w:val="false"/>
          <w:color w:val="2D3748"/>
          <w:sz w:val="20"/>
          <w:szCs w:val="20"/>
        </w:rPr>
        <w:t xml:space="preserve">对外沟通、文档与产品文案必须遵循以下术语；详细映射表见 src/lib/brand-glossary.ts 与 docs/BRAND_GLOSSARY.md。</w:t>
      </w:r>
    </w:p>
    <w:p>
      <w:pPr>
        <w:spacing w:after="24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External communications, documents and product copy must follow these terms. Full mapping in src/lib/brand-glossary.ts and docs/BRAND_GLOSSARY.md.</w:t>
      </w:r>
    </w:p>
    <w:p>
      <w:pPr>
        <w:spacing w:after="100"/>
      </w:pPr>
      <w:r>
        <w:rPr>
          <w:rFonts w:ascii="Noto Sans SC" w:cs="Noto Sans SC" w:eastAsia="Noto Sans SC" w:hAnsi="Noto Sans SC"/>
          <w:b/>
          <w:bCs/>
          <w:color w:val="1A365D"/>
          <w:sz w:val="24"/>
          <w:szCs w:val="24"/>
        </w:rPr>
        <w:t xml:space="preserve">4.1 品牌名与定位  /  4.1 Brand name &amp; positioning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品牌名始终写作「Global AI DAO」，中英文均带空格；禁止 GlobalAIDAO / Global AIDAO / 全球 AI DAO 等变体。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Always write the brand as 'Global AI DAO' with spaces. Never use GlobalAIDAO, Global AIDAO or other variants.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主张句：「Global AI DAO 是全球企业 AI 服务的第一品牌」/「Global AI DAO is the world's #1 brand for enterprise AI services」。英文标题使用 World's #1；正文可用 world's leading。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Master line: 'Global AI DAO is the world's #1 brand for enterprise AI services.' Use World's #1 in EN headlines; world's leading is acceptable in body copy only.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辅助句：「连接超级平台与万千中小企业的坚实桥梁」/「The solid bridge between hyperscale platforms and millions of SMEs」。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Support line: 'The solid bridge between hyperscale platforms and millions of SMEs.'</w:t>
      </w:r>
    </w:p>
    <w:p>
      <w:pPr>
        <w:spacing w:after="100"/>
      </w:pPr>
      <w:r>
        <w:rPr>
          <w:rFonts w:ascii="Noto Sans SC" w:cs="Noto Sans SC" w:eastAsia="Noto Sans SC" w:hAnsi="Noto Sans SC"/>
          <w:b/>
          <w:bCs/>
          <w:color w:val="1A365D"/>
          <w:sz w:val="24"/>
          <w:szCs w:val="24"/>
        </w:rPr>
        <w:t xml:space="preserve">4.2 核心术语  /  4.2 Core terminology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AI Agent：两个英文单词，首字母均大写；禁止 AI agent / AIAgent / AI-Agent。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AI Agent: two words, both capitalized. Never AI agent, AIAgent or AI-Agent.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DAO 协同 / DAO Collaboration；完整名词为「DAO 协同网络 / DAO Collaboration Network」。DAO 全大写。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DAO Collaboration; the full noun is 'DAO Collaboration Network'. DAO is always uppercase.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全球 DAO 专家网络 / Global DAO Expert Network；区块链信任 / Blockchain Trust（标题首字母大写，正文可小写）。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Global DAO Expert Network; Blockchain Trust (capitalize in headings, lowercase OK in body).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按效果付费 / Pay-for-Performance（英文带连字符）；最后一公里 / Last-Mile（形容词带连字符）。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Pay-for-Performance (hyphenated in EN); Last-Mile as an adjective (hyphenated).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防锁定中间层 / Anti-Lock-In Middle Layer；垂直领域的价值放大器 / Vertical Value Amplifier。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Anti-Lock-In Middle Layer; Vertical Value Amplifier.</w:t>
      </w:r>
    </w:p>
    <w:p>
      <w:pPr>
        <w:spacing w:after="100"/>
      </w:pPr>
      <w:r>
        <w:rPr>
          <w:rFonts w:ascii="Noto Sans SC" w:cs="Noto Sans SC" w:eastAsia="Noto Sans SC" w:hAnsi="Noto Sans SC"/>
          <w:b/>
          <w:bCs/>
          <w:color w:val="1A365D"/>
          <w:sz w:val="24"/>
          <w:szCs w:val="24"/>
        </w:rPr>
        <w:t xml:space="preserve">4.3 语气与版式  /  4.3 Tone &amp; layout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语气：克制、可量化、对客户友好；避免营销夸张词汇（最佳、唯一、革命性等），优先用数据与案例佐证。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Tone: restrained, quantifiable, customer-friendly. Avoid marketing hyperbole (best, only, revolutionary); back claims with data and cases.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英文长文档使用 Source Serif Pro / Inter 字体对，A4 边距 20/18/22/18mm，正文 11pt、1.75 行距，确保「保存为 PDF」不拥挤。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English long-form docs use Source Serif Pro / Inter, A4 margins 20/18/22/18 mm, body 11pt with 1.75 line-height to keep 'Save as PDF' uncramped.</w:t>
      </w:r>
    </w:p>
    <w:p>
      <w:pPr>
        <w:spacing w:after="40"/>
      </w:pPr>
      <w:r>
        <w:rPr>
          <w:rFonts w:ascii="Noto Sans SC" w:cs="Noto Sans SC" w:eastAsia="Noto Sans SC" w:hAnsi="Noto Sans SC"/>
          <w:b w:val="false"/>
          <w:bCs w:val="false"/>
          <w:color w:val="1A202C"/>
          <w:sz w:val="20"/>
          <w:szCs w:val="20"/>
        </w:rPr>
        <w:t xml:space="preserve">所有对外文档需在页脚写明：© Global AI DAO · globalaidao.org，并附「联系我们获取完整商务报价」入口。</w:t>
      </w:r>
    </w:p>
    <w:p>
      <w:pPr>
        <w:spacing w:after="180"/>
      </w:pPr>
      <w:r>
        <w:rPr>
          <w:rFonts w:ascii="Noto Sans SC" w:cs="Noto Sans SC" w:eastAsia="Noto Sans SC" w:hAnsi="Noto Sans SC"/>
          <w:b w:val="false"/>
          <w:bCs w:val="false"/>
          <w:color w:val="4A5568"/>
          <w:sz w:val="19"/>
          <w:szCs w:val="19"/>
        </w:rPr>
        <w:t xml:space="preserve">All external documents must footer with: © Global AI DAO · globalaidao.org and a 'Contact us for the full commercial quote' entry.</w:t>
      </w:r>
    </w:p>
    <w:p>
      <w:r>
        <w:br w:type="page"/>
      </w:r>
    </w:p>
    <w:sectPr>
      <w:pgSz w:w="11906" w:h="16838" w:orient="portrait"/>
      <w:pgMar w:top="1134" w:right="1020" w:bottom="1247" w:left="10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oto Sans SC" w:cs="Noto Sans SC" w:eastAsia="Noto Sans SC" w:hAnsi="Noto Sans SC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AI DAO User Handbook</dc:title>
  <dc:creator>Global AI DAO</dc:creator>
  <cp:lastModifiedBy>Un-named</cp:lastModifiedBy>
  <cp:revision>1</cp:revision>
  <dcterms:created xsi:type="dcterms:W3CDTF">2026-05-25T05:17:33.122Z</dcterms:created>
  <dcterms:modified xsi:type="dcterms:W3CDTF">2026-05-25T05:17:33.122Z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